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140489" w:rsidRDefault="00140489">
      <w:pPr>
        <w:contextualSpacing/>
      </w:pPr>
    </w:p>
    <w:p w:rsidR="00140489" w:rsidRDefault="00140489">
      <w:pPr>
        <w:contextualSpacing/>
      </w:pPr>
    </w:p>
    <w:p w:rsidR="00140489" w:rsidRDefault="00140489">
      <w:pPr>
        <w:contextualSpacing/>
      </w:pPr>
    </w:p>
    <w:p w:rsidR="00140489" w:rsidRDefault="00140489">
      <w:pPr>
        <w:contextualSpacing/>
      </w:pPr>
    </w:p>
    <w:p w:rsidR="00140489" w:rsidRDefault="00140489">
      <w:pPr>
        <w:contextualSpacing/>
      </w:pPr>
    </w:p>
    <w:p w:rsidR="00140489" w:rsidRDefault="00140489">
      <w:pPr>
        <w:contextualSpacing/>
      </w:pPr>
    </w:p>
    <w:p w:rsidR="00140489" w:rsidRDefault="006965EE" w:rsidP="00140489">
      <w:pPr>
        <w:contextualSpacing/>
        <w:jc w:val="center"/>
        <w:rPr>
          <w:b/>
          <w:lang w:val="en-US"/>
        </w:rPr>
      </w:pPr>
      <w:r>
        <w:rPr>
          <w:b/>
          <w:lang w:val="en-US"/>
        </w:rPr>
        <w:t>Normalization of Deviance in N</w:t>
      </w:r>
      <w:r w:rsidR="00B92E66">
        <w:rPr>
          <w:b/>
          <w:lang w:val="en-US"/>
        </w:rPr>
        <w:t>ASA</w:t>
      </w:r>
    </w:p>
    <w:p w:rsidR="00140489" w:rsidRDefault="00140489" w:rsidP="00140489">
      <w:pPr>
        <w:contextualSpacing/>
        <w:jc w:val="center"/>
        <w:rPr>
          <w:b/>
          <w:lang w:val="en-US"/>
        </w:rPr>
      </w:pPr>
    </w:p>
    <w:p w:rsidR="00140489" w:rsidRDefault="00140489" w:rsidP="00140489">
      <w:pPr>
        <w:contextualSpacing/>
        <w:jc w:val="center"/>
        <w:rPr>
          <w:b/>
          <w:lang w:val="en-US"/>
        </w:rPr>
      </w:pPr>
    </w:p>
    <w:p w:rsidR="00140489" w:rsidRDefault="00140489" w:rsidP="00140489">
      <w:pPr>
        <w:contextualSpacing/>
        <w:jc w:val="center"/>
        <w:rPr>
          <w:b/>
          <w:lang w:val="en-US"/>
        </w:rPr>
      </w:pPr>
    </w:p>
    <w:p w:rsidR="00140489" w:rsidRDefault="00140489" w:rsidP="00140489">
      <w:pPr>
        <w:contextualSpacing/>
        <w:jc w:val="center"/>
        <w:rPr>
          <w:b/>
          <w:lang w:val="en-US"/>
        </w:rPr>
      </w:pPr>
    </w:p>
    <w:p w:rsidR="00140489" w:rsidRDefault="006965EE" w:rsidP="00140489">
      <w:pPr>
        <w:contextualSpacing/>
        <w:jc w:val="center"/>
        <w:rPr>
          <w:lang w:val="en-US"/>
        </w:rPr>
      </w:pPr>
      <w:r>
        <w:rPr>
          <w:lang w:val="en-US"/>
        </w:rPr>
        <w:t>(Student’s Name)</w:t>
      </w:r>
    </w:p>
    <w:p w:rsidR="00140489" w:rsidRDefault="006965EE" w:rsidP="00140489">
      <w:pPr>
        <w:contextualSpacing/>
        <w:jc w:val="center"/>
        <w:rPr>
          <w:lang w:val="en-US"/>
        </w:rPr>
      </w:pPr>
      <w:r>
        <w:rPr>
          <w:lang w:val="en-US"/>
        </w:rPr>
        <w:t>(Institution Affiliated)</w:t>
      </w:r>
    </w:p>
    <w:p w:rsidR="00B92E66" w:rsidRDefault="006965EE" w:rsidP="00140489">
      <w:pPr>
        <w:contextualSpacing/>
        <w:jc w:val="center"/>
        <w:rPr>
          <w:lang w:val="en-US"/>
        </w:rPr>
      </w:pPr>
      <w:r>
        <w:rPr>
          <w:lang w:val="en-US"/>
        </w:rPr>
        <w:t>(Course)</w:t>
      </w:r>
    </w:p>
    <w:p w:rsidR="00B92E66" w:rsidRDefault="006965EE" w:rsidP="00140489">
      <w:pPr>
        <w:contextualSpacing/>
        <w:jc w:val="center"/>
        <w:rPr>
          <w:lang w:val="en-US"/>
        </w:rPr>
      </w:pPr>
      <w:r>
        <w:rPr>
          <w:lang w:val="en-US"/>
        </w:rPr>
        <w:t>(Date)</w:t>
      </w:r>
    </w:p>
    <w:p w:rsidR="00B92E66" w:rsidRDefault="006965EE">
      <w:pPr>
        <w:rPr>
          <w:lang w:val="en-US"/>
        </w:rPr>
      </w:pPr>
      <w:r>
        <w:rPr>
          <w:lang w:val="en-US"/>
        </w:rPr>
        <w:br w:type="page"/>
      </w:r>
    </w:p>
    <w:p w:rsidR="00B92E66" w:rsidRDefault="006965EE" w:rsidP="00B92E66">
      <w:pPr>
        <w:contextualSpacing/>
        <w:jc w:val="center"/>
        <w:rPr>
          <w:lang w:val="en-US"/>
        </w:rPr>
      </w:pPr>
      <w:r w:rsidRPr="00B92E66">
        <w:rPr>
          <w:lang w:val="en-US"/>
        </w:rPr>
        <w:lastRenderedPageBreak/>
        <w:t>Normalization of Deviance in NASA</w:t>
      </w:r>
    </w:p>
    <w:p w:rsidR="005C1441" w:rsidRPr="005C1441" w:rsidRDefault="006965EE" w:rsidP="005C1441">
      <w:pPr>
        <w:contextualSpacing/>
        <w:jc w:val="center"/>
        <w:rPr>
          <w:b/>
          <w:lang w:val="en-US"/>
        </w:rPr>
      </w:pPr>
      <w:r>
        <w:rPr>
          <w:b/>
          <w:lang w:val="en-US"/>
        </w:rPr>
        <w:t xml:space="preserve">Introduction </w:t>
      </w:r>
    </w:p>
    <w:p w:rsidR="00B92E66" w:rsidRDefault="006965EE" w:rsidP="00C44691">
      <w:pPr>
        <w:contextualSpacing/>
        <w:rPr>
          <w:lang w:val="en-US"/>
        </w:rPr>
      </w:pPr>
      <w:r>
        <w:rPr>
          <w:lang w:val="en-US"/>
        </w:rPr>
        <w:tab/>
      </w:r>
      <w:r>
        <w:rPr>
          <w:lang w:val="en-US"/>
        </w:rPr>
        <w:t xml:space="preserve">In the formation of a company, the management comes with </w:t>
      </w:r>
      <w:r w:rsidR="000D05A5">
        <w:rPr>
          <w:lang w:val="en-US"/>
        </w:rPr>
        <w:t xml:space="preserve">a procedure that should ensure the safety of the manufacturing procedure and the product's safety requirements to the potential buyers. This helps the company avoid huge financial drawbacks in compensating people who may sue the company due to negligence issues. The normalization of deviance theory by </w:t>
      </w:r>
      <w:r w:rsidR="000D05A5" w:rsidRPr="000D05A5">
        <w:rPr>
          <w:lang w:val="en-US"/>
        </w:rPr>
        <w:t>Diane Vaughan</w:t>
      </w:r>
      <w:r w:rsidR="000D05A5">
        <w:rPr>
          <w:lang w:val="en-US"/>
        </w:rPr>
        <w:t xml:space="preserve"> describes the situation where the workers and administration defy these rules so much so that the new habit of deviance becomes the norm</w:t>
      </w:r>
      <w:r w:rsidR="00344321">
        <w:rPr>
          <w:lang w:val="en-US"/>
        </w:rPr>
        <w:t xml:space="preserve"> (</w:t>
      </w:r>
      <w:r w:rsidR="00344321">
        <w:t xml:space="preserve">Albright, </w:t>
      </w:r>
      <w:r w:rsidR="00344321" w:rsidRPr="00344321">
        <w:t>2017)</w:t>
      </w:r>
      <w:r w:rsidR="000D05A5">
        <w:rPr>
          <w:lang w:val="en-US"/>
        </w:rPr>
        <w:t xml:space="preserve">. </w:t>
      </w:r>
      <w:r w:rsidR="00C44691">
        <w:rPr>
          <w:lang w:val="en-US"/>
        </w:rPr>
        <w:t xml:space="preserve">In the book "What was Volkswagen Thinking?" </w:t>
      </w:r>
      <w:r w:rsidR="00C44691" w:rsidRPr="00C44691">
        <w:rPr>
          <w:lang w:val="en-US"/>
        </w:rPr>
        <w:t>Jerry Useem</w:t>
      </w:r>
      <w:r w:rsidR="00C44691">
        <w:rPr>
          <w:lang w:val="en-US"/>
        </w:rPr>
        <w:t xml:space="preserve"> describes a few everyday situations in which the law of deviance was seen. In one example, he defines how </w:t>
      </w:r>
      <w:r w:rsidR="00C44691" w:rsidRPr="00C44691">
        <w:rPr>
          <w:lang w:val="en-US"/>
        </w:rPr>
        <w:t>James Burke, the chief executive of Johnson &amp; Johnson</w:t>
      </w:r>
      <w:r w:rsidR="005C1441">
        <w:rPr>
          <w:lang w:val="en-US"/>
        </w:rPr>
        <w:t>, had a committee meeting with his team of managers over the company's tendency to flagging drug safety measures</w:t>
      </w:r>
      <w:r w:rsidR="00344321">
        <w:rPr>
          <w:lang w:val="en-US"/>
        </w:rPr>
        <w:t xml:space="preserve"> (</w:t>
      </w:r>
      <w:r w:rsidR="00344321">
        <w:t xml:space="preserve">Useem, </w:t>
      </w:r>
      <w:r w:rsidR="00344321" w:rsidRPr="00344321">
        <w:t>2016)</w:t>
      </w:r>
      <w:r w:rsidR="005C1441">
        <w:rPr>
          <w:lang w:val="en-US"/>
        </w:rPr>
        <w:t>. The team of managers, in the end, treated the issue lightly, showing how they 'normalized the deviance'</w:t>
      </w:r>
      <w:r w:rsidR="00A31DCC">
        <w:rPr>
          <w:lang w:val="en-US"/>
        </w:rPr>
        <w:t xml:space="preserve"> after which </w:t>
      </w:r>
      <w:r w:rsidR="00DE5264">
        <w:rPr>
          <w:lang w:val="en-US"/>
        </w:rPr>
        <w:t>the company was forced to make losses of $</w:t>
      </w:r>
      <w:r w:rsidR="002342ED">
        <w:rPr>
          <w:lang w:val="en-US"/>
        </w:rPr>
        <w:t xml:space="preserve">100 million. </w:t>
      </w:r>
    </w:p>
    <w:p w:rsidR="002342ED" w:rsidRDefault="006965EE" w:rsidP="002342ED">
      <w:pPr>
        <w:contextualSpacing/>
        <w:jc w:val="center"/>
        <w:rPr>
          <w:b/>
          <w:lang w:val="en-US"/>
        </w:rPr>
      </w:pPr>
      <w:r>
        <w:rPr>
          <w:b/>
          <w:lang w:val="en-US"/>
        </w:rPr>
        <w:t>In NASA</w:t>
      </w:r>
    </w:p>
    <w:p w:rsidR="005D05D7" w:rsidRDefault="006965EE" w:rsidP="005D05D7">
      <w:pPr>
        <w:contextualSpacing/>
        <w:rPr>
          <w:lang w:val="en-US"/>
        </w:rPr>
      </w:pPr>
      <w:r>
        <w:rPr>
          <w:lang w:val="en-US"/>
        </w:rPr>
        <w:tab/>
      </w:r>
      <w:r w:rsidR="00536E0C">
        <w:rPr>
          <w:lang w:val="en-US"/>
        </w:rPr>
        <w:t>On 28</w:t>
      </w:r>
      <w:r w:rsidR="00536E0C" w:rsidRPr="00536E0C">
        <w:rPr>
          <w:vertAlign w:val="superscript"/>
          <w:lang w:val="en-US"/>
        </w:rPr>
        <w:t>th</w:t>
      </w:r>
      <w:r w:rsidR="00536E0C">
        <w:rPr>
          <w:lang w:val="en-US"/>
        </w:rPr>
        <w:t xml:space="preserve"> January 1986, NASA launched the Space Shuttle Challenger. However, the dream to space was not achieved as the space shuttle exploded on start-up, causing billions of damage and the loss of 7 crew who were on board.</w:t>
      </w:r>
      <w:r>
        <w:rPr>
          <w:lang w:val="en-US"/>
        </w:rPr>
        <w:t xml:space="preserve"> </w:t>
      </w:r>
      <w:r w:rsidRPr="005D05D7">
        <w:rPr>
          <w:lang w:val="en-US"/>
        </w:rPr>
        <w:t>Through testing, NASA had found issues w</w:t>
      </w:r>
      <w:r w:rsidRPr="005D05D7">
        <w:rPr>
          <w:lang w:val="en-US"/>
        </w:rPr>
        <w:t>ith the joints on the SRBs. Vaughan states that these tests' consequences indicated aberrance from what the group was planning to discover. Yet, the groups decided to record these outcomes as being inside "the limits of acceptable risks"</w:t>
      </w:r>
      <w:r w:rsidR="00344321">
        <w:rPr>
          <w:lang w:val="en-US"/>
        </w:rPr>
        <w:t xml:space="preserve"> (</w:t>
      </w:r>
      <w:r w:rsidR="00344321">
        <w:t xml:space="preserve">Albright, </w:t>
      </w:r>
      <w:r w:rsidR="00344321" w:rsidRPr="00344321">
        <w:t>2017)</w:t>
      </w:r>
      <w:r w:rsidRPr="005D05D7">
        <w:rPr>
          <w:lang w:val="en-US"/>
        </w:rPr>
        <w:t xml:space="preserve">. </w:t>
      </w:r>
      <w:r w:rsidRPr="005D05D7">
        <w:rPr>
          <w:lang w:val="en-US"/>
        </w:rPr>
        <w:t>The investigation ruled that this choice to sort the outcomes as acceptable risk ought to have been given more prominent investigation.</w:t>
      </w:r>
    </w:p>
    <w:p w:rsidR="005D05D7" w:rsidRDefault="006965EE" w:rsidP="005D05D7">
      <w:pPr>
        <w:ind w:firstLine="720"/>
        <w:contextualSpacing/>
        <w:rPr>
          <w:lang w:val="en-US"/>
        </w:rPr>
      </w:pPr>
      <w:r w:rsidRPr="005D05D7">
        <w:rPr>
          <w:lang w:val="en-US"/>
        </w:rPr>
        <w:lastRenderedPageBreak/>
        <w:t xml:space="preserve">However, on the grounds that testing had continued for quite a while, and numerous arrangements of results had been </w:t>
      </w:r>
      <w:r w:rsidRPr="005D05D7">
        <w:rPr>
          <w:lang w:val="en-US"/>
        </w:rPr>
        <w:t>accumulated, whether or not the outcomes gave "acceptable danger" or not had bit by bit lost significance. The individuals from the group had rehashed to themselves so often that these outcomes were satisfactory. They started to standardize that choice and</w:t>
      </w:r>
      <w:r w:rsidRPr="005D05D7">
        <w:rPr>
          <w:lang w:val="en-US"/>
        </w:rPr>
        <w:t xml:space="preserve"> not investigate it to the degree they ought to have done. The issue, as indicated by the examination group, could be found across the two groups. Morton-Thiokol were running tests on the clay used to seal the O-rings in the SRB joints</w:t>
      </w:r>
      <w:r w:rsidR="00344321">
        <w:rPr>
          <w:lang w:val="en-US"/>
        </w:rPr>
        <w:t xml:space="preserve"> (</w:t>
      </w:r>
      <w:r w:rsidR="00344321">
        <w:t xml:space="preserve">Albright, </w:t>
      </w:r>
      <w:r w:rsidR="00344321" w:rsidRPr="00344321">
        <w:t>2017)</w:t>
      </w:r>
      <w:r w:rsidRPr="005D05D7">
        <w:rPr>
          <w:lang w:val="en-US"/>
        </w:rPr>
        <w:t>. Th</w:t>
      </w:r>
      <w:r w:rsidRPr="005D05D7">
        <w:rPr>
          <w:lang w:val="en-US"/>
        </w:rPr>
        <w:t>ey kept on discovering issues and, in the end, supplanted the clay with a superior performing variant.</w:t>
      </w:r>
    </w:p>
    <w:p w:rsidR="002342ED" w:rsidRDefault="006965EE" w:rsidP="005D05D7">
      <w:pPr>
        <w:ind w:firstLine="720"/>
        <w:contextualSpacing/>
        <w:rPr>
          <w:lang w:val="en-US"/>
        </w:rPr>
      </w:pPr>
      <w:r w:rsidRPr="005D05D7">
        <w:rPr>
          <w:lang w:val="en-US"/>
        </w:rPr>
        <w:t>This new clay created outcomes that digressed from what they needed to see; however, recorded it as an acceptable risk. Then, at NASA, the testing was co</w:t>
      </w:r>
      <w:r w:rsidRPr="005D05D7">
        <w:rPr>
          <w:lang w:val="en-US"/>
        </w:rPr>
        <w:t xml:space="preserve">ntinuous for the SRBs, and this issue kept on erupting. Furthermore, even the experts from NASA stood in deviance to the limits which also knew were beyond the ordinarily acceptable limits. </w:t>
      </w:r>
      <w:r>
        <w:rPr>
          <w:lang w:val="en-US"/>
        </w:rPr>
        <w:t xml:space="preserve"> </w:t>
      </w:r>
      <w:r w:rsidRPr="005D05D7">
        <w:rPr>
          <w:lang w:val="en-US"/>
        </w:rPr>
        <w:t>As history shows, flying with that imperfection was peril and int</w:t>
      </w:r>
      <w:r w:rsidRPr="005D05D7">
        <w:rPr>
          <w:lang w:val="en-US"/>
        </w:rPr>
        <w:t>roduced a more significant level of danger than foreseen by the architects in a testing</w:t>
      </w:r>
      <w:r w:rsidR="00344321">
        <w:rPr>
          <w:lang w:val="en-US"/>
        </w:rPr>
        <w:t xml:space="preserve"> (</w:t>
      </w:r>
      <w:r w:rsidR="00344321">
        <w:t xml:space="preserve">Albright, </w:t>
      </w:r>
      <w:r w:rsidR="00344321" w:rsidRPr="00344321">
        <w:t>2017)</w:t>
      </w:r>
      <w:r w:rsidRPr="005D05D7">
        <w:rPr>
          <w:lang w:val="en-US"/>
        </w:rPr>
        <w:t>. The accentuation being developed was engaged around building something that worked instead of thinking about the human lives in danger if it would hav</w:t>
      </w:r>
      <w:r w:rsidRPr="005D05D7">
        <w:rPr>
          <w:lang w:val="en-US"/>
        </w:rPr>
        <w:t>e been saved through adherence to the rules.</w:t>
      </w:r>
    </w:p>
    <w:p w:rsidR="005D05D7" w:rsidRDefault="005D05D7" w:rsidP="005D05D7">
      <w:pPr>
        <w:ind w:firstLine="720"/>
        <w:contextualSpacing/>
        <w:rPr>
          <w:lang w:val="en-US"/>
        </w:rPr>
      </w:pPr>
    </w:p>
    <w:p w:rsidR="005D05D7" w:rsidRDefault="005D05D7" w:rsidP="005D05D7">
      <w:pPr>
        <w:ind w:firstLine="720"/>
        <w:contextualSpacing/>
        <w:rPr>
          <w:lang w:val="en-US"/>
        </w:rPr>
      </w:pPr>
    </w:p>
    <w:p w:rsidR="005D05D7" w:rsidRDefault="005D05D7" w:rsidP="005D05D7">
      <w:pPr>
        <w:ind w:firstLine="720"/>
        <w:contextualSpacing/>
        <w:rPr>
          <w:lang w:val="en-US"/>
        </w:rPr>
      </w:pPr>
    </w:p>
    <w:p w:rsidR="005D05D7" w:rsidRDefault="005D05D7" w:rsidP="005D05D7">
      <w:pPr>
        <w:ind w:firstLine="720"/>
        <w:contextualSpacing/>
        <w:rPr>
          <w:lang w:val="en-US"/>
        </w:rPr>
      </w:pPr>
    </w:p>
    <w:p w:rsidR="005D05D7" w:rsidRDefault="005D05D7" w:rsidP="005D05D7">
      <w:pPr>
        <w:ind w:firstLine="720"/>
        <w:contextualSpacing/>
        <w:rPr>
          <w:lang w:val="en-US"/>
        </w:rPr>
      </w:pPr>
    </w:p>
    <w:p w:rsidR="005D05D7" w:rsidRDefault="005D05D7" w:rsidP="005D05D7">
      <w:pPr>
        <w:ind w:firstLine="720"/>
        <w:contextualSpacing/>
        <w:rPr>
          <w:lang w:val="en-US"/>
        </w:rPr>
      </w:pPr>
    </w:p>
    <w:p w:rsidR="005D05D7" w:rsidRDefault="005D05D7" w:rsidP="005D05D7">
      <w:pPr>
        <w:ind w:firstLine="720"/>
        <w:contextualSpacing/>
        <w:rPr>
          <w:lang w:val="en-US"/>
        </w:rPr>
      </w:pPr>
    </w:p>
    <w:p w:rsidR="005D05D7" w:rsidRDefault="006965EE" w:rsidP="005D05D7">
      <w:pPr>
        <w:ind w:firstLine="720"/>
        <w:contextualSpacing/>
        <w:jc w:val="center"/>
        <w:rPr>
          <w:b/>
          <w:lang w:val="en-US"/>
        </w:rPr>
      </w:pPr>
      <w:r>
        <w:rPr>
          <w:b/>
          <w:lang w:val="en-US"/>
        </w:rPr>
        <w:t xml:space="preserve">References </w:t>
      </w:r>
    </w:p>
    <w:p w:rsidR="00344321" w:rsidRDefault="006965EE" w:rsidP="00344321">
      <w:pPr>
        <w:ind w:left="720" w:hanging="720"/>
        <w:contextualSpacing/>
      </w:pPr>
      <w:r w:rsidRPr="00344321">
        <w:lastRenderedPageBreak/>
        <w:t>Albright, J. (2017). Normalization of Deviance. </w:t>
      </w:r>
      <w:r w:rsidRPr="00344321">
        <w:rPr>
          <w:i/>
          <w:iCs/>
        </w:rPr>
        <w:t>Business &amp; Commercial Aviation</w:t>
      </w:r>
      <w:r w:rsidRPr="00344321">
        <w:t>, 41.</w:t>
      </w:r>
    </w:p>
    <w:p w:rsidR="005D05D7" w:rsidRPr="00344321" w:rsidRDefault="006965EE" w:rsidP="00344321">
      <w:pPr>
        <w:ind w:left="720" w:hanging="720"/>
        <w:contextualSpacing/>
        <w:rPr>
          <w:lang w:val="en-US"/>
        </w:rPr>
      </w:pPr>
      <w:r w:rsidRPr="00344321">
        <w:t>Useem, J. (2016). What Was Volkswagen Thinking? On the origins of corporate evil—and idiocy. </w:t>
      </w:r>
      <w:r w:rsidRPr="00344321">
        <w:rPr>
          <w:i/>
          <w:iCs/>
        </w:rPr>
        <w:t>The Atlantic: h</w:t>
      </w:r>
      <w:r w:rsidRPr="00344321">
        <w:rPr>
          <w:i/>
          <w:iCs/>
        </w:rPr>
        <w:t>ttps://www. theatlantic. com/magazine/archive/2016/2001/what-wasvolkswagen-thinking/419127</w:t>
      </w:r>
      <w:r w:rsidRPr="00344321">
        <w:t>.</w:t>
      </w:r>
    </w:p>
    <w:sectPr w:rsidR="005D05D7" w:rsidRPr="0034432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965EE">
      <w:pPr>
        <w:spacing w:after="0" w:line="240" w:lineRule="auto"/>
      </w:pPr>
      <w:r>
        <w:separator/>
      </w:r>
    </w:p>
  </w:endnote>
  <w:endnote w:type="continuationSeparator" w:id="0">
    <w:p w:rsidR="00000000" w:rsidRDefault="00696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965EE">
      <w:pPr>
        <w:spacing w:after="0" w:line="240" w:lineRule="auto"/>
      </w:pPr>
      <w:r>
        <w:separator/>
      </w:r>
    </w:p>
  </w:footnote>
  <w:footnote w:type="continuationSeparator" w:id="0">
    <w:p w:rsidR="00000000" w:rsidRDefault="00696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018044"/>
      <w:docPartObj>
        <w:docPartGallery w:val="Page Numbers (Top of Page)"/>
        <w:docPartUnique/>
      </w:docPartObj>
    </w:sdtPr>
    <w:sdtEndPr>
      <w:rPr>
        <w:noProof/>
      </w:rPr>
    </w:sdtEndPr>
    <w:sdtContent>
      <w:p w:rsidR="009372C5" w:rsidRDefault="006965EE">
        <w:pPr>
          <w:pStyle w:val="Header"/>
          <w:jc w:val="right"/>
        </w:pPr>
        <w:r>
          <w:fldChar w:fldCharType="begin"/>
        </w:r>
        <w:r>
          <w:instrText xml:space="preserve"> PAGE   \* MERGEFORMAT </w:instrText>
        </w:r>
        <w:r>
          <w:fldChar w:fldCharType="separate"/>
        </w:r>
        <w:r w:rsidR="00344321">
          <w:rPr>
            <w:noProof/>
          </w:rPr>
          <w:t>4</w:t>
        </w:r>
        <w:r>
          <w:rPr>
            <w:noProof/>
          </w:rPr>
          <w:fldChar w:fldCharType="end"/>
        </w:r>
      </w:p>
    </w:sdtContent>
  </w:sdt>
  <w:p w:rsidR="009372C5" w:rsidRDefault="009372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2C5"/>
    <w:rsid w:val="000D05A5"/>
    <w:rsid w:val="00140489"/>
    <w:rsid w:val="00205DE5"/>
    <w:rsid w:val="002342ED"/>
    <w:rsid w:val="00344321"/>
    <w:rsid w:val="00536E0C"/>
    <w:rsid w:val="005C1441"/>
    <w:rsid w:val="005D05D7"/>
    <w:rsid w:val="00657226"/>
    <w:rsid w:val="006965EE"/>
    <w:rsid w:val="009372C5"/>
    <w:rsid w:val="00A31DCC"/>
    <w:rsid w:val="00B92E66"/>
    <w:rsid w:val="00C44691"/>
    <w:rsid w:val="00CF449F"/>
    <w:rsid w:val="00DE5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DAE4434-434A-4FC5-8087-E7421D06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2C5"/>
  </w:style>
  <w:style w:type="paragraph" w:styleId="Footer">
    <w:name w:val="footer"/>
    <w:basedOn w:val="Normal"/>
    <w:link w:val="FooterChar"/>
    <w:uiPriority w:val="99"/>
    <w:unhideWhenUsed/>
    <w:rsid w:val="00937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2020-11-08T18:25:00Z</dcterms:created>
  <dcterms:modified xsi:type="dcterms:W3CDTF">2020-11-08T18:25:00Z</dcterms:modified>
</cp:coreProperties>
</file>